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FBA9C" w14:textId="77777777" w:rsidR="00E0460D" w:rsidRPr="00C85BE1" w:rsidRDefault="00E0460D" w:rsidP="00E0460D">
      <w:r w:rsidRPr="00C85BE1">
        <w:t>[QUEM É VOCÊ?]</w:t>
      </w:r>
    </w:p>
    <w:p w14:paraId="5F26A95E" w14:textId="77777777" w:rsidR="00E0460D" w:rsidRPr="00C85BE1" w:rsidRDefault="00C85BE1" w:rsidP="00E0460D">
      <w:pPr>
        <w:rPr>
          <w:b/>
        </w:rPr>
      </w:pPr>
      <w:r w:rsidRPr="00C85BE1">
        <w:rPr>
          <w:b/>
        </w:rPr>
        <w:t>EMPRESÁRIO</w:t>
      </w:r>
    </w:p>
    <w:p w14:paraId="693C6BEA" w14:textId="77777777" w:rsidR="00E0460D" w:rsidRPr="00C85BE1" w:rsidRDefault="00E0460D" w:rsidP="00E0460D">
      <w:r w:rsidRPr="00C85BE1">
        <w:t>[SUGESTÃO DE IMAGEM]</w:t>
      </w:r>
    </w:p>
    <w:p w14:paraId="4E04D802" w14:textId="77777777" w:rsidR="00E0460D" w:rsidRPr="00C85BE1" w:rsidRDefault="003D28EA" w:rsidP="00E0460D">
      <w:hyperlink r:id="rId5" w:history="1">
        <w:r w:rsidR="00C85BE1" w:rsidRPr="0062408C">
          <w:rPr>
            <w:rStyle w:val="Hyperlink"/>
          </w:rPr>
          <w:t>https://www.gov.br/casacivil/pt-br/assuntos/noticias/2020/julho/pronampe-governo-federal-anuncia-isencao-da-tarifa-para-abertura-de-credito-de-pequenas-empresas</w:t>
        </w:r>
      </w:hyperlink>
      <w:r w:rsidR="00C85BE1">
        <w:t xml:space="preserve"> </w:t>
      </w:r>
    </w:p>
    <w:p w14:paraId="2ADFA310" w14:textId="77777777" w:rsidR="00E0460D" w:rsidRPr="00C85BE1" w:rsidRDefault="00E0460D" w:rsidP="00E0460D">
      <w:r w:rsidRPr="00C85BE1">
        <w:t>[TÍTULO]</w:t>
      </w:r>
    </w:p>
    <w:p w14:paraId="607F6A96" w14:textId="77777777" w:rsidR="00E0460D" w:rsidRPr="00C85BE1" w:rsidRDefault="00E0460D" w:rsidP="00E0460D">
      <w:pPr>
        <w:rPr>
          <w:b/>
        </w:rPr>
      </w:pPr>
      <w:r w:rsidRPr="00C85BE1">
        <w:rPr>
          <w:b/>
        </w:rPr>
        <w:t>PRONAMPE: Programa apoia micro e pequenos empresários</w:t>
      </w:r>
    </w:p>
    <w:p w14:paraId="1328EB2A" w14:textId="77777777" w:rsidR="00E0460D" w:rsidRPr="00C85BE1" w:rsidRDefault="00E0460D" w:rsidP="00E0460D">
      <w:r w:rsidRPr="00C85BE1">
        <w:t>[CORPO]</w:t>
      </w:r>
    </w:p>
    <w:p w14:paraId="23D2689A" w14:textId="77777777" w:rsidR="00E0460D" w:rsidRPr="00C85BE1" w:rsidRDefault="00E0460D" w:rsidP="00E0460D">
      <w:pPr>
        <w:rPr>
          <w:b/>
        </w:rPr>
      </w:pPr>
      <w:r w:rsidRPr="00C85BE1">
        <w:rPr>
          <w:b/>
        </w:rPr>
        <w:t>O que é?</w:t>
      </w:r>
    </w:p>
    <w:p w14:paraId="5A039437" w14:textId="6B0F3605" w:rsidR="0081367F" w:rsidRPr="00C85BE1" w:rsidRDefault="00E0460D" w:rsidP="00E0460D">
      <w:r w:rsidRPr="00C85BE1">
        <w:t>O Programa Nacional de Apoio às Microempresas e Empresas de Pequeno Porte (P</w:t>
      </w:r>
      <w:r w:rsidR="00940697">
        <w:t>ronampe</w:t>
      </w:r>
      <w:r w:rsidRPr="00C85BE1">
        <w:t xml:space="preserve">) é uma linha de crédito </w:t>
      </w:r>
      <w:r w:rsidR="0081367F" w:rsidRPr="00C85BE1">
        <w:t>disponibilizada pelo Governo Federal, por meio de instituições financeiras, para apoiar o</w:t>
      </w:r>
      <w:r w:rsidRPr="00C85BE1">
        <w:t xml:space="preserve"> desenvolvimento e o forta</w:t>
      </w:r>
      <w:r w:rsidR="0081367F" w:rsidRPr="00C85BE1">
        <w:t>lecimento dos pequenos negócios durante a pandemia d</w:t>
      </w:r>
      <w:r w:rsidR="003D28EA">
        <w:t>a</w:t>
      </w:r>
      <w:r w:rsidR="0081367F" w:rsidRPr="00C85BE1">
        <w:t xml:space="preserve"> COVID-19. </w:t>
      </w:r>
    </w:p>
    <w:p w14:paraId="5659EBA1" w14:textId="77777777" w:rsidR="0081367F" w:rsidRPr="00C85BE1" w:rsidRDefault="0081367F" w:rsidP="00E0460D">
      <w:r w:rsidRPr="00C85BE1">
        <w:t>A ação foi instituída pela Lei nº 13.999, de 18 de maio de 2020 e tem por objetivo garantir recursos para o estímulo dos pequenos negócios, além de manter os empregos, já que essa é uma das exigências para que a empresa possa contratar o crédito.</w:t>
      </w:r>
      <w:r w:rsidR="00E0460D" w:rsidRPr="00C85BE1">
        <w:br/>
      </w:r>
      <w:r w:rsidR="00E0460D" w:rsidRPr="00C85BE1">
        <w:br/>
      </w:r>
      <w:r w:rsidRPr="00C85BE1">
        <w:rPr>
          <w:b/>
        </w:rPr>
        <w:t>Quem pode utilizar este serviço?</w:t>
      </w:r>
      <w:r w:rsidRPr="00C85BE1">
        <w:br/>
      </w:r>
      <w:r w:rsidRPr="00C85BE1">
        <w:br/>
        <w:t>A contratação está disponível para as micro e pequenas empresas com faturamento anual de até R$ 4,8 milhões (quatro milhões e oitocentos mil reais), considerando a receita bruta apurada no exercício de 2019.</w:t>
      </w:r>
    </w:p>
    <w:p w14:paraId="52B15DAC" w14:textId="77777777" w:rsidR="0081367F" w:rsidRPr="00C85BE1" w:rsidRDefault="0081367F" w:rsidP="00E0460D">
      <w:pPr>
        <w:rPr>
          <w:b/>
          <w:color w:val="FF0000"/>
        </w:rPr>
      </w:pPr>
      <w:r w:rsidRPr="00C85BE1">
        <w:rPr>
          <w:b/>
          <w:color w:val="FF0000"/>
        </w:rPr>
        <w:t>Taxa de juros:</w:t>
      </w:r>
    </w:p>
    <w:p w14:paraId="796375AF" w14:textId="77777777" w:rsidR="0081367F" w:rsidRPr="00C85BE1" w:rsidRDefault="0081367F" w:rsidP="00E0460D">
      <w:r w:rsidRPr="00C85BE1">
        <w:t>A taxa de juros anual máxima será igual à Selic, atualmente em 3%, mais 1,25% sobre o valor concedido.</w:t>
      </w:r>
    </w:p>
    <w:p w14:paraId="77A6B17B" w14:textId="77777777" w:rsidR="00A963A6" w:rsidRPr="00C85BE1" w:rsidRDefault="00A963A6" w:rsidP="00A963A6">
      <w:pPr>
        <w:pStyle w:val="NormalWeb"/>
        <w:spacing w:before="240" w:beforeAutospacing="0" w:after="240" w:afterAutospacing="0"/>
        <w:rPr>
          <w:rFonts w:asciiTheme="minorHAnsi" w:hAnsiTheme="minorHAnsi"/>
          <w:sz w:val="22"/>
          <w:szCs w:val="22"/>
        </w:rPr>
      </w:pPr>
      <w:r w:rsidRPr="00C85BE1">
        <w:rPr>
          <w:rFonts w:asciiTheme="minorHAnsi" w:hAnsiTheme="minorHAnsi" w:cs="Arial"/>
          <w:b/>
          <w:bCs/>
          <w:color w:val="FF0000"/>
          <w:sz w:val="22"/>
          <w:szCs w:val="22"/>
        </w:rPr>
        <w:t>Prazo de pagamento:</w:t>
      </w:r>
    </w:p>
    <w:p w14:paraId="50F3C613" w14:textId="3AD7CCDF" w:rsidR="00A963A6" w:rsidRPr="00C85BE1" w:rsidRDefault="00A963A6" w:rsidP="00A963A6">
      <w:pPr>
        <w:pStyle w:val="NormalWeb"/>
        <w:spacing w:before="240" w:beforeAutospacing="0" w:after="240" w:afterAutospacing="0"/>
        <w:rPr>
          <w:rFonts w:asciiTheme="minorHAnsi" w:hAnsiTheme="minorHAnsi"/>
          <w:sz w:val="22"/>
          <w:szCs w:val="22"/>
        </w:rPr>
      </w:pPr>
      <w:r w:rsidRPr="00C85BE1">
        <w:rPr>
          <w:rFonts w:asciiTheme="minorHAnsi" w:hAnsiTheme="minorHAnsi" w:cs="Arial"/>
          <w:color w:val="000000"/>
          <w:sz w:val="22"/>
          <w:szCs w:val="22"/>
        </w:rPr>
        <w:t xml:space="preserve">O </w:t>
      </w:r>
      <w:r w:rsidR="003D28EA">
        <w:rPr>
          <w:rFonts w:asciiTheme="minorHAnsi" w:hAnsiTheme="minorHAnsi" w:cs="Arial"/>
          <w:color w:val="000000"/>
          <w:sz w:val="22"/>
          <w:szCs w:val="22"/>
        </w:rPr>
        <w:t>l</w:t>
      </w:r>
      <w:r w:rsidRPr="00C85BE1">
        <w:rPr>
          <w:rFonts w:asciiTheme="minorHAnsi" w:hAnsiTheme="minorHAnsi" w:cs="Arial"/>
          <w:color w:val="000000"/>
          <w:sz w:val="22"/>
          <w:szCs w:val="22"/>
        </w:rPr>
        <w:t xml:space="preserve">imite total de pagamento é de 36 meses, incluindo o período </w:t>
      </w:r>
      <w:r w:rsidR="003D28EA">
        <w:rPr>
          <w:rFonts w:asciiTheme="minorHAnsi" w:hAnsiTheme="minorHAnsi" w:cs="Arial"/>
          <w:color w:val="000000"/>
          <w:sz w:val="22"/>
          <w:szCs w:val="22"/>
        </w:rPr>
        <w:t xml:space="preserve">de </w:t>
      </w:r>
      <w:r w:rsidRPr="00C85BE1">
        <w:rPr>
          <w:rFonts w:asciiTheme="minorHAnsi" w:hAnsiTheme="minorHAnsi" w:cs="Arial"/>
          <w:color w:val="000000"/>
          <w:sz w:val="22"/>
          <w:szCs w:val="22"/>
        </w:rPr>
        <w:t>carência de até 8 meses.</w:t>
      </w:r>
    </w:p>
    <w:p w14:paraId="3302B3A0" w14:textId="77777777" w:rsidR="0081367F" w:rsidRPr="00C85BE1" w:rsidRDefault="0081367F" w:rsidP="00E0460D">
      <w:pPr>
        <w:rPr>
          <w:rFonts w:cs="Arial"/>
          <w:b/>
          <w:bCs/>
          <w:color w:val="FF0000"/>
        </w:rPr>
      </w:pPr>
      <w:r w:rsidRPr="00C85BE1">
        <w:rPr>
          <w:rFonts w:cs="Arial"/>
          <w:b/>
          <w:bCs/>
          <w:color w:val="FF0000"/>
        </w:rPr>
        <w:t>Contrapartida</w:t>
      </w:r>
      <w:r w:rsidR="00B50E58" w:rsidRPr="00C85BE1">
        <w:rPr>
          <w:rFonts w:cs="Arial"/>
          <w:b/>
          <w:bCs/>
          <w:color w:val="FF0000"/>
        </w:rPr>
        <w:t xml:space="preserve"> e requisitos legais</w:t>
      </w:r>
      <w:r w:rsidRPr="00C85BE1">
        <w:rPr>
          <w:rFonts w:cs="Arial"/>
          <w:b/>
          <w:bCs/>
          <w:color w:val="FF0000"/>
        </w:rPr>
        <w:t>:</w:t>
      </w:r>
    </w:p>
    <w:p w14:paraId="09B1CA1C" w14:textId="77777777" w:rsidR="00B50E58" w:rsidRPr="00C85BE1" w:rsidRDefault="00B50E58" w:rsidP="00E0460D">
      <w:r w:rsidRPr="00C85BE1">
        <w:t>- As empresas que pegarem o financiamento devem assumir o compromisso de preservar o número de funcionários da data da contratação do empréstimo até 60 dias após o recebimento da última parcela.</w:t>
      </w:r>
    </w:p>
    <w:p w14:paraId="04A34481" w14:textId="77777777" w:rsidR="00B50E58" w:rsidRPr="00C85BE1" w:rsidRDefault="00B50E58" w:rsidP="00B50E58">
      <w:r w:rsidRPr="00C85BE1">
        <w:t>- A concessão do crédito é vedada à empresa que possuir condenação relacionada a trabalho em condições análogas à escravidão ou ao trabalho infantil.</w:t>
      </w:r>
    </w:p>
    <w:p w14:paraId="0687C269" w14:textId="77777777" w:rsidR="00B50E58" w:rsidRPr="00C85BE1" w:rsidRDefault="00B50E58" w:rsidP="00B50E58">
      <w:r w:rsidRPr="00C85BE1">
        <w:t>- Os dados constantes no Comunicado Eletrônico enviado pela Receita Federal deverão ser fornecidos.</w:t>
      </w:r>
    </w:p>
    <w:p w14:paraId="2139FCCE" w14:textId="77777777" w:rsidR="00C85BE1" w:rsidRDefault="00B50E58" w:rsidP="00B50E58">
      <w:r w:rsidRPr="00C85BE1">
        <w:rPr>
          <w:b/>
          <w:color w:val="FF0000"/>
        </w:rPr>
        <w:t>Limites e condições</w:t>
      </w:r>
      <w:r w:rsidRPr="00C85BE1">
        <w:br/>
      </w:r>
    </w:p>
    <w:p w14:paraId="48A42953" w14:textId="133ECFF0" w:rsidR="00C85BE1" w:rsidRDefault="00B50E58" w:rsidP="00C85BE1">
      <w:pPr>
        <w:pStyle w:val="PargrafodaLista"/>
        <w:numPr>
          <w:ilvl w:val="0"/>
          <w:numId w:val="3"/>
        </w:numPr>
      </w:pPr>
      <w:r w:rsidRPr="00C85BE1">
        <w:rPr>
          <w:b/>
        </w:rPr>
        <w:lastRenderedPageBreak/>
        <w:t>Empresas com menos de 12 (doze) meses de funcionamento:</w:t>
      </w:r>
      <w:r w:rsidR="003D28EA">
        <w:t xml:space="preserve"> l</w:t>
      </w:r>
      <w:r w:rsidRPr="00C85BE1">
        <w:t xml:space="preserve">imite do empréstimo de até 50% (cinquenta por cento) do capital social ou até 30% (trinta por cento) da média do faturamento mensal apurado desde o início das atividades, o que for mais vantajoso. </w:t>
      </w:r>
    </w:p>
    <w:p w14:paraId="5CD241B9" w14:textId="229DC423" w:rsidR="00E0460D" w:rsidRPr="00C85BE1" w:rsidRDefault="00B50E58" w:rsidP="00C85BE1">
      <w:pPr>
        <w:pStyle w:val="PargrafodaLista"/>
        <w:numPr>
          <w:ilvl w:val="0"/>
          <w:numId w:val="3"/>
        </w:numPr>
      </w:pPr>
      <w:r w:rsidRPr="00C85BE1">
        <w:rPr>
          <w:b/>
        </w:rPr>
        <w:t>Empresas com mais de 12 (doze) meses de funcionamento:</w:t>
      </w:r>
      <w:r w:rsidRPr="00C85BE1">
        <w:t xml:space="preserve"> </w:t>
      </w:r>
      <w:r w:rsidR="003D28EA">
        <w:t>l</w:t>
      </w:r>
      <w:r w:rsidRPr="00C85BE1">
        <w:t>imite de contratação correspondente a 30% (trinta por cento) da receita bruta anual calculada com base no exercício de 2019.</w:t>
      </w:r>
    </w:p>
    <w:p w14:paraId="0930379E" w14:textId="77777777" w:rsidR="00E0460D" w:rsidRPr="00C85BE1" w:rsidRDefault="00392D3C" w:rsidP="00E0460D">
      <w:pPr>
        <w:rPr>
          <w:b/>
        </w:rPr>
      </w:pPr>
      <w:r w:rsidRPr="00C85BE1">
        <w:br/>
      </w:r>
      <w:r w:rsidR="00E0460D" w:rsidRPr="00C85BE1">
        <w:rPr>
          <w:b/>
        </w:rPr>
        <w:t>CANAIS DE PRESTAÇÃO</w:t>
      </w:r>
    </w:p>
    <w:p w14:paraId="19D260F9" w14:textId="77777777" w:rsidR="00392D3C" w:rsidRPr="00C85BE1" w:rsidRDefault="0081367F" w:rsidP="0081367F">
      <w:r w:rsidRPr="00C85BE1">
        <w:t>Os recursos poderão ser solicitados em</w:t>
      </w:r>
      <w:r w:rsidR="00392D3C" w:rsidRPr="00C85BE1">
        <w:t xml:space="preserve">: </w:t>
      </w:r>
      <w:r w:rsidRPr="00C85BE1">
        <w:t xml:space="preserve"> </w:t>
      </w:r>
    </w:p>
    <w:p w14:paraId="36DEE941" w14:textId="197A3794" w:rsidR="00392D3C" w:rsidRPr="00C85BE1" w:rsidRDefault="00392D3C" w:rsidP="00392D3C">
      <w:r w:rsidRPr="00C85BE1">
        <w:t>- B</w:t>
      </w:r>
      <w:r w:rsidR="0081367F" w:rsidRPr="00C85BE1">
        <w:t xml:space="preserve">ancos públicos que aderirem ao </w:t>
      </w:r>
      <w:proofErr w:type="spellStart"/>
      <w:r w:rsidR="0081367F" w:rsidRPr="00C85BE1">
        <w:t>Pronampe</w:t>
      </w:r>
      <w:proofErr w:type="spellEnd"/>
      <w:r w:rsidR="0081367F" w:rsidRPr="00C85BE1">
        <w:t xml:space="preserve"> como</w:t>
      </w:r>
      <w:r w:rsidR="00A963A6" w:rsidRPr="00C85BE1">
        <w:t xml:space="preserve">: Banco do Brasil, </w:t>
      </w:r>
      <w:r w:rsidR="0081367F" w:rsidRPr="00C85BE1">
        <w:t xml:space="preserve">Caixa Econômica Federal, </w:t>
      </w:r>
      <w:r w:rsidR="00A963A6" w:rsidRPr="00C85BE1">
        <w:t xml:space="preserve">Banco do Nordeste do Brasil e o </w:t>
      </w:r>
      <w:r w:rsidR="0081367F" w:rsidRPr="00C85BE1">
        <w:t xml:space="preserve">Banco </w:t>
      </w:r>
      <w:r w:rsidRPr="00C85BE1">
        <w:t>da Amazônia;</w:t>
      </w:r>
      <w:r w:rsidR="00C85BE1">
        <w:br/>
      </w:r>
      <w:r w:rsidRPr="00C85BE1">
        <w:t>- Bancos e agências de fomento estaduais;</w:t>
      </w:r>
      <w:r w:rsidR="00C85BE1">
        <w:t xml:space="preserve"> </w:t>
      </w:r>
      <w:r w:rsidR="00C85BE1">
        <w:br/>
      </w:r>
      <w:r w:rsidRPr="00C85BE1">
        <w:t>- Cooperativas de crédito e os bancos cooperados;</w:t>
      </w:r>
      <w:r w:rsidR="00C85BE1">
        <w:t xml:space="preserve"> </w:t>
      </w:r>
      <w:r w:rsidR="00C85BE1">
        <w:br/>
      </w:r>
      <w:r w:rsidRPr="00C85BE1">
        <w:t>- Instituições integrantes do sistema de pagamentos brasileiro;</w:t>
      </w:r>
      <w:r w:rsidR="00C85BE1">
        <w:t xml:space="preserve">  </w:t>
      </w:r>
      <w:r w:rsidR="00C85BE1">
        <w:br/>
      </w:r>
      <w:r w:rsidR="006D5E54" w:rsidRPr="00C85BE1">
        <w:t xml:space="preserve">- </w:t>
      </w:r>
      <w:r w:rsidRPr="00C85BE1">
        <w:t>Plataformas tecnológicas de serviços financeiros (</w:t>
      </w:r>
      <w:proofErr w:type="spellStart"/>
      <w:r w:rsidRPr="00C85BE1">
        <w:t>fintechs</w:t>
      </w:r>
      <w:proofErr w:type="spellEnd"/>
      <w:r w:rsidRPr="00C85BE1">
        <w:t>)</w:t>
      </w:r>
      <w:r w:rsidR="006D5E54" w:rsidRPr="00C85BE1">
        <w:t>;</w:t>
      </w:r>
      <w:r w:rsidR="00C85BE1">
        <w:t xml:space="preserve">  </w:t>
      </w:r>
      <w:r w:rsidR="00C85BE1">
        <w:br/>
      </w:r>
      <w:r w:rsidR="006D5E54" w:rsidRPr="00C85BE1">
        <w:t xml:space="preserve">- </w:t>
      </w:r>
      <w:r w:rsidRPr="00C85BE1">
        <w:t xml:space="preserve">Organizações da sociedade civil </w:t>
      </w:r>
      <w:r w:rsidR="006D5E54" w:rsidRPr="00C85BE1">
        <w:t>de interesse público de crédito;</w:t>
      </w:r>
      <w:r w:rsidRPr="00C85BE1">
        <w:t xml:space="preserve"> </w:t>
      </w:r>
      <w:r w:rsidR="00C85BE1">
        <w:br/>
      </w:r>
      <w:r w:rsidR="006D5E54" w:rsidRPr="00C85BE1">
        <w:t xml:space="preserve">- </w:t>
      </w:r>
      <w:r w:rsidR="00A963A6" w:rsidRPr="00C85BE1">
        <w:t>E d</w:t>
      </w:r>
      <w:r w:rsidRPr="00C85BE1">
        <w:t>emais instituições financeiras públicas e privadas autorizadas a funcionar</w:t>
      </w:r>
      <w:r w:rsidR="006D5E54" w:rsidRPr="00C85BE1">
        <w:t xml:space="preserve"> pelo Banco Central do Brasil. </w:t>
      </w:r>
    </w:p>
    <w:p w14:paraId="20A73051" w14:textId="77777777" w:rsidR="00392D3C" w:rsidRPr="00C85BE1" w:rsidRDefault="006D5E54" w:rsidP="00392D3C">
      <w:r w:rsidRPr="00C85BE1">
        <w:t>Verifique</w:t>
      </w:r>
      <w:r w:rsidR="00392D3C" w:rsidRPr="00C85BE1">
        <w:t xml:space="preserve"> se a instituição financeira com a qual</w:t>
      </w:r>
      <w:r w:rsidRPr="00C85BE1">
        <w:t xml:space="preserve"> você</w:t>
      </w:r>
      <w:r w:rsidR="00392D3C" w:rsidRPr="00C85BE1">
        <w:t xml:space="preserve"> mantém relacionamento bancário </w:t>
      </w:r>
      <w:r w:rsidRPr="00C85BE1">
        <w:t>aderiu ao programa</w:t>
      </w:r>
      <w:r w:rsidR="00392D3C" w:rsidRPr="00C85BE1">
        <w:t xml:space="preserve"> e já está oferecendo </w:t>
      </w:r>
      <w:r w:rsidRPr="00C85BE1">
        <w:t xml:space="preserve">essa </w:t>
      </w:r>
      <w:r w:rsidR="00392D3C" w:rsidRPr="00C85BE1">
        <w:t>linha de crédito</w:t>
      </w:r>
      <w:r w:rsidRPr="00C85BE1">
        <w:t>.</w:t>
      </w:r>
    </w:p>
    <w:p w14:paraId="48F554C3" w14:textId="77777777" w:rsidR="00392D3C" w:rsidRPr="00C85BE1" w:rsidRDefault="006D5E54" w:rsidP="00392D3C">
      <w:pPr>
        <w:rPr>
          <w:b/>
        </w:rPr>
      </w:pPr>
      <w:r w:rsidRPr="00C85BE1">
        <w:br/>
      </w:r>
      <w:r w:rsidR="00392D3C" w:rsidRPr="00C85BE1">
        <w:rPr>
          <w:b/>
        </w:rPr>
        <w:t xml:space="preserve">Quais são as instituições financeiras </w:t>
      </w:r>
      <w:r w:rsidR="00A963A6" w:rsidRPr="00C85BE1">
        <w:rPr>
          <w:b/>
        </w:rPr>
        <w:t xml:space="preserve">que </w:t>
      </w:r>
      <w:r w:rsidRPr="00C85BE1">
        <w:rPr>
          <w:b/>
        </w:rPr>
        <w:t xml:space="preserve">já estão cadastradas? </w:t>
      </w:r>
    </w:p>
    <w:p w14:paraId="06C1A5AB" w14:textId="77777777" w:rsidR="006D5E54" w:rsidRPr="00C85BE1" w:rsidRDefault="006D5E54" w:rsidP="00392D3C">
      <w:r w:rsidRPr="00C85BE1">
        <w:t xml:space="preserve">Segundo o relatório de desempenho dos agentes operadores do </w:t>
      </w:r>
      <w:proofErr w:type="spellStart"/>
      <w:r w:rsidRPr="00C85BE1">
        <w:t>Pronampe</w:t>
      </w:r>
      <w:proofErr w:type="spellEnd"/>
      <w:r w:rsidRPr="00C85BE1">
        <w:t>, as operadoras cadastradas são: (</w:t>
      </w:r>
      <w:proofErr w:type="spellStart"/>
      <w:r w:rsidRPr="00C85BE1">
        <w:t>linkar</w:t>
      </w:r>
      <w:proofErr w:type="spellEnd"/>
      <w:r w:rsidRPr="00C85BE1">
        <w:t xml:space="preserve">: </w:t>
      </w:r>
      <w:hyperlink r:id="rId6" w:history="1">
        <w:r w:rsidRPr="00C85BE1">
          <w:rPr>
            <w:rStyle w:val="Hyperlink"/>
          </w:rPr>
          <w:t>https://www.bb.com.br/docs/portal/digov/Pronampe-Semanal.pdf</w:t>
        </w:r>
      </w:hyperlink>
      <w:r w:rsidRPr="00C85BE1">
        <w:t xml:space="preserve">) </w:t>
      </w:r>
    </w:p>
    <w:p w14:paraId="4DFD4904" w14:textId="77777777" w:rsidR="006D5E54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7" w:history="1">
        <w:proofErr w:type="spellStart"/>
        <w:r w:rsidR="006D5E54" w:rsidRPr="00C85BE1">
          <w:rPr>
            <w:rStyle w:val="Hyperlink"/>
            <w:rFonts w:cs="Arial"/>
            <w:color w:val="0070C0"/>
          </w:rPr>
          <w:t>Ailos</w:t>
        </w:r>
        <w:proofErr w:type="spellEnd"/>
        <w:r w:rsidR="006D5E54" w:rsidRPr="00C85BE1">
          <w:rPr>
            <w:rStyle w:val="Hyperlink"/>
            <w:rFonts w:cs="Arial"/>
            <w:color w:val="0070C0"/>
          </w:rPr>
          <w:t xml:space="preserve"> – Cooperativa </w:t>
        </w:r>
        <w:r w:rsidR="00C85BE1" w:rsidRPr="00C85BE1">
          <w:rPr>
            <w:rStyle w:val="Hyperlink"/>
            <w:rFonts w:cs="Arial"/>
            <w:color w:val="0070C0"/>
          </w:rPr>
          <w:t>de Crédito</w:t>
        </w:r>
      </w:hyperlink>
    </w:p>
    <w:p w14:paraId="08E70BA1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8" w:tgtFrame="_blank" w:history="1">
        <w:proofErr w:type="spellStart"/>
        <w:r w:rsidR="00392D3C" w:rsidRPr="00C85BE1">
          <w:rPr>
            <w:rStyle w:val="Hyperlink"/>
            <w:rFonts w:cs="Arial"/>
            <w:color w:val="0070C0"/>
          </w:rPr>
          <w:t>Badesul</w:t>
        </w:r>
        <w:proofErr w:type="spellEnd"/>
        <w:r w:rsidR="00392D3C" w:rsidRPr="00C85BE1">
          <w:rPr>
            <w:rStyle w:val="Hyperlink"/>
            <w:rFonts w:cs="Arial"/>
            <w:color w:val="0070C0"/>
          </w:rPr>
          <w:t xml:space="preserve"> - Agência de Fomento do Rio Grande do Sul</w:t>
        </w:r>
      </w:hyperlink>
    </w:p>
    <w:p w14:paraId="22B5C58E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9" w:tgtFrame="_blank" w:history="1">
        <w:r w:rsidR="00392D3C" w:rsidRPr="00C85BE1">
          <w:rPr>
            <w:rStyle w:val="Hyperlink"/>
            <w:rFonts w:cs="Arial"/>
            <w:color w:val="0070C0"/>
          </w:rPr>
          <w:t>Banco da Amazônia S.A. </w:t>
        </w:r>
      </w:hyperlink>
    </w:p>
    <w:p w14:paraId="3268968E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10" w:anchor="/" w:tgtFrame="_blank" w:history="1">
        <w:r w:rsidR="00392D3C" w:rsidRPr="00C85BE1">
          <w:rPr>
            <w:rStyle w:val="Hyperlink"/>
            <w:rFonts w:cs="Arial"/>
            <w:color w:val="0070C0"/>
          </w:rPr>
          <w:t>Banco do Brasil S.A</w:t>
        </w:r>
      </w:hyperlink>
    </w:p>
    <w:p w14:paraId="71648160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11" w:tgtFrame="_blank" w:history="1">
        <w:proofErr w:type="spellStart"/>
        <w:r w:rsidR="00392D3C" w:rsidRPr="00C85BE1">
          <w:rPr>
            <w:rStyle w:val="Hyperlink"/>
            <w:rFonts w:cs="Arial"/>
            <w:color w:val="0070C0"/>
          </w:rPr>
          <w:t>Bancoob</w:t>
        </w:r>
        <w:proofErr w:type="spellEnd"/>
        <w:r w:rsidR="00392D3C" w:rsidRPr="00C85BE1">
          <w:rPr>
            <w:rStyle w:val="Hyperlink"/>
            <w:rFonts w:cs="Arial"/>
            <w:color w:val="0070C0"/>
          </w:rPr>
          <w:t xml:space="preserve"> - Banco Cooperativo Sistema </w:t>
        </w:r>
        <w:proofErr w:type="spellStart"/>
        <w:r w:rsidR="00392D3C" w:rsidRPr="00C85BE1">
          <w:rPr>
            <w:rStyle w:val="Hyperlink"/>
            <w:rFonts w:cs="Arial"/>
            <w:color w:val="0070C0"/>
          </w:rPr>
          <w:t>Sicoob</w:t>
        </w:r>
        <w:proofErr w:type="spellEnd"/>
      </w:hyperlink>
    </w:p>
    <w:p w14:paraId="37C43E21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12" w:tgtFrame="_blank" w:history="1">
        <w:r w:rsidR="00392D3C" w:rsidRPr="00C85BE1">
          <w:rPr>
            <w:rStyle w:val="Hyperlink"/>
            <w:rFonts w:cs="Arial"/>
            <w:color w:val="0070C0"/>
          </w:rPr>
          <w:t>Banrisul - Banco do Estado do Rio Grande do Sul S.A.</w:t>
        </w:r>
      </w:hyperlink>
    </w:p>
    <w:p w14:paraId="7E90545F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13" w:tgtFrame="_blank" w:history="1">
        <w:r w:rsidR="00392D3C" w:rsidRPr="00C85BE1">
          <w:rPr>
            <w:rStyle w:val="Hyperlink"/>
            <w:rFonts w:cs="Arial"/>
            <w:color w:val="0070C0"/>
          </w:rPr>
          <w:t>BDMG - Banco de Desenvolvimento de Minas Gerais</w:t>
        </w:r>
      </w:hyperlink>
    </w:p>
    <w:p w14:paraId="0201BF4B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14" w:tgtFrame="_blank" w:history="1">
        <w:r w:rsidR="00392D3C" w:rsidRPr="00C85BE1">
          <w:rPr>
            <w:rStyle w:val="Hyperlink"/>
            <w:rFonts w:cs="Arial"/>
            <w:color w:val="0070C0"/>
          </w:rPr>
          <w:t>BNB - Banco do Nordeste do Brasil S.A. </w:t>
        </w:r>
      </w:hyperlink>
    </w:p>
    <w:p w14:paraId="1814609D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w:tgtFrame="_blank" w:history="1">
        <w:r w:rsidR="00392D3C" w:rsidRPr="00C85BE1">
          <w:rPr>
            <w:rStyle w:val="Hyperlink"/>
            <w:rFonts w:cs="Arial"/>
            <w:color w:val="0070C0"/>
          </w:rPr>
          <w:t>Caixa Econômica Federal</w:t>
        </w:r>
      </w:hyperlink>
    </w:p>
    <w:p w14:paraId="60CB1BA3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15" w:tgtFrame="_blank" w:history="1">
        <w:r w:rsidR="00392D3C" w:rsidRPr="00C85BE1">
          <w:rPr>
            <w:rStyle w:val="Hyperlink"/>
            <w:rFonts w:cs="Arial"/>
            <w:color w:val="0070C0"/>
          </w:rPr>
          <w:t>Itaú Unibanco S.A. </w:t>
        </w:r>
      </w:hyperlink>
    </w:p>
    <w:p w14:paraId="6AF01A53" w14:textId="77777777" w:rsidR="00392D3C" w:rsidRPr="00C85BE1" w:rsidRDefault="003D28EA" w:rsidP="00392D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rPr>
          <w:rFonts w:cs="Arial"/>
          <w:color w:val="0070C0"/>
          <w:u w:val="single"/>
        </w:rPr>
      </w:pPr>
      <w:hyperlink r:id="rId16" w:tgtFrame="_blank" w:history="1">
        <w:r w:rsidR="00392D3C" w:rsidRPr="00C85BE1">
          <w:rPr>
            <w:rStyle w:val="Hyperlink"/>
            <w:rFonts w:cs="Arial"/>
            <w:color w:val="0070C0"/>
          </w:rPr>
          <w:t>Sicredi - Instituição Financeira Cooperativa</w:t>
        </w:r>
      </w:hyperlink>
    </w:p>
    <w:p w14:paraId="182EC164" w14:textId="77777777" w:rsidR="006D5E54" w:rsidRPr="00C85BE1" w:rsidRDefault="006D5E54" w:rsidP="0081367F">
      <w:pPr>
        <w:rPr>
          <w:b/>
        </w:rPr>
      </w:pPr>
    </w:p>
    <w:p w14:paraId="54BDC7B5" w14:textId="77777777" w:rsidR="00B50E58" w:rsidRPr="00C85BE1" w:rsidRDefault="00B50E58" w:rsidP="0081367F">
      <w:pPr>
        <w:rPr>
          <w:b/>
        </w:rPr>
      </w:pPr>
      <w:r w:rsidRPr="00C85BE1">
        <w:rPr>
          <w:b/>
        </w:rPr>
        <w:t>Como os recursos podem ser utilizados?</w:t>
      </w:r>
    </w:p>
    <w:p w14:paraId="0FA3554E" w14:textId="77777777" w:rsidR="00B50E58" w:rsidRPr="00C85BE1" w:rsidRDefault="00B50E58" w:rsidP="00B50E58">
      <w:r w:rsidRPr="00C85BE1">
        <w:t xml:space="preserve">Os recursos podem ser utilizados para investimento, aquisição de máquinas e equipamentos, realização de reformas e/ou como Capital de Giro. </w:t>
      </w:r>
    </w:p>
    <w:p w14:paraId="080C500E" w14:textId="0ACE6CC7" w:rsidR="00B50E58" w:rsidRPr="00C85BE1" w:rsidRDefault="003D28EA" w:rsidP="00B50E58">
      <w:r>
        <w:t>Você pode ainda</w:t>
      </w:r>
      <w:r w:rsidR="00B50E58" w:rsidRPr="00C85BE1">
        <w:t xml:space="preserve"> efetuar o pagamento de despesas operacionais, como salários dos funcionários, contas de água, luz e aluguel, além da compra de matéri</w:t>
      </w:r>
      <w:r>
        <w:t>as-</w:t>
      </w:r>
      <w:r w:rsidR="00B50E58" w:rsidRPr="00C85BE1">
        <w:t>primas e mercadorias.</w:t>
      </w:r>
    </w:p>
    <w:p w14:paraId="5B67DDD6" w14:textId="77777777" w:rsidR="00B50E58" w:rsidRPr="00C85BE1" w:rsidRDefault="00B50E58" w:rsidP="00B50E58">
      <w:r w:rsidRPr="00C85BE1">
        <w:t>É proibido o uso dos recursos para distribuição de lucros e dividendos entre os sócios do negócio.</w:t>
      </w:r>
    </w:p>
    <w:p w14:paraId="3AB62FC9" w14:textId="77777777" w:rsidR="00E0460D" w:rsidRPr="00C85BE1" w:rsidRDefault="00A963A6" w:rsidP="00E0460D">
      <w:pPr>
        <w:rPr>
          <w:b/>
        </w:rPr>
      </w:pPr>
      <w:r w:rsidRPr="00C85BE1">
        <w:rPr>
          <w:b/>
        </w:rPr>
        <w:t>Tempo de duração</w:t>
      </w:r>
    </w:p>
    <w:p w14:paraId="7A541213" w14:textId="77777777" w:rsidR="006D5E54" w:rsidRPr="00C85BE1" w:rsidRDefault="00392D3C" w:rsidP="00E0460D">
      <w:r w:rsidRPr="00C85BE1">
        <w:t>As ope</w:t>
      </w:r>
      <w:r w:rsidR="006D5E54" w:rsidRPr="00C85BE1">
        <w:t>rações devem ser contratadas até o dia 19/11/2020, data que finaliza a prorrogação do prazo formalizado na portaria nº 19.492</w:t>
      </w:r>
      <w:r w:rsidR="00A963A6" w:rsidRPr="00C85BE1">
        <w:t>, ou enquanto houver recursos disponíveis, já que eles são limitados.</w:t>
      </w:r>
    </w:p>
    <w:p w14:paraId="06465DDD" w14:textId="77777777" w:rsidR="00392D3C" w:rsidRPr="00C85BE1" w:rsidRDefault="00A963A6" w:rsidP="00392D3C">
      <w:pPr>
        <w:rPr>
          <w:b/>
        </w:rPr>
      </w:pPr>
      <w:r w:rsidRPr="00C85BE1">
        <w:br/>
      </w:r>
      <w:r w:rsidRPr="00C85BE1">
        <w:rPr>
          <w:b/>
        </w:rPr>
        <w:t xml:space="preserve">Empresas com inadimplência </w:t>
      </w:r>
      <w:r w:rsidR="00392D3C" w:rsidRPr="00C85BE1">
        <w:rPr>
          <w:b/>
        </w:rPr>
        <w:t xml:space="preserve">terão acesso ao crédito? </w:t>
      </w:r>
    </w:p>
    <w:p w14:paraId="548B9D9B" w14:textId="77777777" w:rsidR="00392D3C" w:rsidRPr="00C85BE1" w:rsidRDefault="00A963A6" w:rsidP="00392D3C">
      <w:r w:rsidRPr="00C85BE1">
        <w:t>As e</w:t>
      </w:r>
      <w:r w:rsidR="00392D3C" w:rsidRPr="00C85BE1">
        <w:t xml:space="preserve">mpresas com cadastro negativo poderão ter seus pedidos negados pela instituição financeira. </w:t>
      </w:r>
      <w:r w:rsidRPr="00C85BE1">
        <w:t>A análise de crédito do cliente é realizada exclusivamente pela instituição financeira participante. Dessa maneira, o governo não tem mandato para interferir na análise de crédito realizada pelos agentes financeiros repassadores.</w:t>
      </w:r>
    </w:p>
    <w:p w14:paraId="0B2A379A" w14:textId="3E210023" w:rsidR="00C80A81" w:rsidRPr="00C85BE1" w:rsidRDefault="00A963A6" w:rsidP="00392D3C">
      <w:r w:rsidRPr="00C85BE1">
        <w:t>Porém</w:t>
      </w:r>
      <w:r w:rsidR="003D28EA">
        <w:t>,</w:t>
      </w:r>
      <w:r w:rsidRPr="00C85BE1">
        <w:t xml:space="preserve"> para facilitar o procedimento de análise, a</w:t>
      </w:r>
      <w:r w:rsidR="00392D3C" w:rsidRPr="00C85BE1">
        <w:t>s instituições financeir</w:t>
      </w:r>
      <w:r w:rsidRPr="00C85BE1">
        <w:t>as ficam dispensadas de exigir:</w:t>
      </w:r>
      <w:r w:rsidRPr="00C85BE1">
        <w:br/>
      </w:r>
      <w:r w:rsidRPr="00C85BE1">
        <w:br/>
        <w:t>-</w:t>
      </w:r>
      <w:r w:rsidR="003D28EA">
        <w:t xml:space="preserve"> </w:t>
      </w:r>
      <w:r w:rsidR="00392D3C" w:rsidRPr="00C85BE1">
        <w:t xml:space="preserve">Certidões de quitação </w:t>
      </w:r>
      <w:r w:rsidRPr="00C85BE1">
        <w:t xml:space="preserve">trabalhistas; </w:t>
      </w:r>
      <w:r w:rsidRPr="00C85BE1">
        <w:br/>
        <w:t xml:space="preserve">- Prova de quitação eleitoral; </w:t>
      </w:r>
      <w:r w:rsidRPr="00C85BE1">
        <w:br/>
        <w:t xml:space="preserve">- </w:t>
      </w:r>
      <w:r w:rsidR="00392D3C" w:rsidRPr="00C85BE1">
        <w:t>Certif</w:t>
      </w:r>
      <w:r w:rsidRPr="00C85BE1">
        <w:t xml:space="preserve">icado de Regularidade do FGTS; </w:t>
      </w:r>
      <w:r w:rsidRPr="00C85BE1">
        <w:br/>
        <w:t xml:space="preserve">- </w:t>
      </w:r>
      <w:r w:rsidR="00392D3C" w:rsidRPr="00C85BE1">
        <w:t>C</w:t>
      </w:r>
      <w:r w:rsidRPr="00C85BE1">
        <w:t xml:space="preserve">ertidões Negativas de Débitos; </w:t>
      </w:r>
      <w:r w:rsidRPr="00C85BE1">
        <w:br/>
        <w:t xml:space="preserve">- </w:t>
      </w:r>
      <w:r w:rsidR="00392D3C" w:rsidRPr="00C85BE1">
        <w:t>Vedação de realizar financiamento ou conceder dispensa de juros, multa e correção com recursos públicos ou recursos do FGTS, a pessoas c</w:t>
      </w:r>
      <w:r w:rsidRPr="00C85BE1">
        <w:t xml:space="preserve">om débito com o FGTS; </w:t>
      </w:r>
      <w:r w:rsidRPr="00C85BE1">
        <w:br/>
        <w:t xml:space="preserve">- Regularidade do ITR; </w:t>
      </w:r>
      <w:r w:rsidRPr="00C85BE1">
        <w:br/>
        <w:t xml:space="preserve">- </w:t>
      </w:r>
      <w:r w:rsidR="00392D3C" w:rsidRPr="00C85BE1">
        <w:t>Consulta prévia ao CADIN.</w:t>
      </w:r>
      <w:bookmarkStart w:id="0" w:name="_GoBack"/>
      <w:bookmarkEnd w:id="0"/>
    </w:p>
    <w:p w14:paraId="6DA3BED2" w14:textId="77777777" w:rsidR="007E680A" w:rsidRPr="00C85BE1" w:rsidRDefault="007E680A" w:rsidP="00774B2D"/>
    <w:p w14:paraId="3DDC811D" w14:textId="77777777" w:rsidR="006D5E54" w:rsidRPr="00C85BE1" w:rsidRDefault="006D5E54" w:rsidP="00774B2D">
      <w:pPr>
        <w:rPr>
          <w:b/>
        </w:rPr>
      </w:pPr>
      <w:r w:rsidRPr="00C85BE1">
        <w:rPr>
          <w:b/>
        </w:rPr>
        <w:t xml:space="preserve">Fontes: </w:t>
      </w:r>
    </w:p>
    <w:p w14:paraId="4F521511" w14:textId="77777777" w:rsidR="006D5E54" w:rsidRPr="00C85BE1" w:rsidRDefault="003D28EA" w:rsidP="00774B2D">
      <w:hyperlink r:id="rId17" w:history="1">
        <w:r w:rsidR="006D5E54" w:rsidRPr="00C85BE1">
          <w:rPr>
            <w:rStyle w:val="Hyperlink"/>
          </w:rPr>
          <w:t>https://www.gov.br/pt-br/noticias/financas-impostos-e-gestao-publica/2020/05/programa-apoia-micro-e-pequenos-empresarios-durante-pandemia</w:t>
        </w:r>
      </w:hyperlink>
    </w:p>
    <w:p w14:paraId="1AFF1DB8" w14:textId="77777777" w:rsidR="00A963A6" w:rsidRPr="00C85BE1" w:rsidRDefault="003D28EA" w:rsidP="00774B2D">
      <w:hyperlink r:id="rId18" w:anchor="/" w:history="1">
        <w:r w:rsidR="00A963A6" w:rsidRPr="00C85BE1">
          <w:rPr>
            <w:rStyle w:val="Hyperlink"/>
          </w:rPr>
          <w:t>https://www.bb.com.br/pbb/pagina-inicial/setor-publico/governo-federal/desenvolvimento-socioeconomico/fundo-de-garantia-de-operacoes-(fgo)---original-e-pronampe/fundo-de-garantia-de-operacoes-(fgo)-pronampe?pk_vid=faeee47fdc96c5e01598976407177003#/</w:t>
        </w:r>
      </w:hyperlink>
    </w:p>
    <w:p w14:paraId="4823EEF0" w14:textId="77777777" w:rsidR="00A963A6" w:rsidRPr="00C85BE1" w:rsidRDefault="003D28EA" w:rsidP="00774B2D">
      <w:hyperlink r:id="rId19" w:history="1">
        <w:r w:rsidR="00A963A6" w:rsidRPr="00C85BE1">
          <w:rPr>
            <w:rStyle w:val="Hyperlink"/>
          </w:rPr>
          <w:t>http://www.caixa.gov.br/empresa/credito-financiamento/capital-de-giro/pronampe/Paginas/default.aspx</w:t>
        </w:r>
      </w:hyperlink>
    </w:p>
    <w:p w14:paraId="259257E3" w14:textId="77777777" w:rsidR="00A963A6" w:rsidRPr="00C85BE1" w:rsidRDefault="003D28EA" w:rsidP="00774B2D">
      <w:hyperlink r:id="rId20" w:history="1">
        <w:r w:rsidR="00A963A6" w:rsidRPr="00C85BE1">
          <w:rPr>
            <w:rStyle w:val="Hyperlink"/>
          </w:rPr>
          <w:t>https://www12.senado.leg.br/noticias/materias/2020/09/01/pronampe-tera-aporte-de-r-14-bilhoes-para-2a-etapa-de-concessao-de-credito</w:t>
        </w:r>
      </w:hyperlink>
    </w:p>
    <w:p w14:paraId="7A426C1D" w14:textId="77777777" w:rsidR="00A963A6" w:rsidRPr="00C85BE1" w:rsidRDefault="00A963A6" w:rsidP="00774B2D"/>
    <w:p w14:paraId="613A8DC4" w14:textId="77777777" w:rsidR="00A963A6" w:rsidRPr="00C85BE1" w:rsidRDefault="00A963A6" w:rsidP="00A963A6">
      <w:r w:rsidRPr="00C85BE1">
        <w:t xml:space="preserve">Lei nº 13.999, de 18 de maio de 2020 &gt; </w:t>
      </w:r>
      <w:hyperlink r:id="rId21" w:history="1">
        <w:r w:rsidRPr="00C85BE1">
          <w:rPr>
            <w:rStyle w:val="Hyperlink"/>
          </w:rPr>
          <w:t>https://www.in.gov.br/en/web/dou/-/lei-n-13.999-de-18-de-maio-de-2020-257394467</w:t>
        </w:r>
      </w:hyperlink>
      <w:r w:rsidRPr="00C85BE1">
        <w:t xml:space="preserve"> </w:t>
      </w:r>
    </w:p>
    <w:p w14:paraId="1E5D9483" w14:textId="77777777" w:rsidR="00A963A6" w:rsidRPr="00C85BE1" w:rsidRDefault="00A963A6" w:rsidP="00A963A6">
      <w:r w:rsidRPr="00C85BE1">
        <w:t xml:space="preserve">Medida Provisória nº 975, de 1º de junho de 2020 &gt; </w:t>
      </w:r>
      <w:hyperlink r:id="rId22" w:history="1">
        <w:r w:rsidRPr="00C85BE1">
          <w:rPr>
            <w:rStyle w:val="Hyperlink"/>
          </w:rPr>
          <w:t>https://www.in.gov.br/en/web/dou/-/medida-provisoria-n-975-de-1-de-junho-de-2020-259639759</w:t>
        </w:r>
      </w:hyperlink>
      <w:r w:rsidRPr="00C85BE1">
        <w:t xml:space="preserve"> </w:t>
      </w:r>
    </w:p>
    <w:p w14:paraId="0717262F" w14:textId="77777777" w:rsidR="00A963A6" w:rsidRPr="00C85BE1" w:rsidRDefault="00A963A6" w:rsidP="00A963A6">
      <w:r w:rsidRPr="00C85BE1">
        <w:t xml:space="preserve">Portaria nº 978 de 08 de junho de 2020 - Secretaria Especial da Receita Federal do Brasil &gt; </w:t>
      </w:r>
      <w:hyperlink r:id="rId23" w:history="1">
        <w:r w:rsidRPr="00C85BE1">
          <w:rPr>
            <w:rStyle w:val="Hyperlink"/>
          </w:rPr>
          <w:t>https://www.in.gov.br/en/web/dou/-/portaria-n-978-de-8-de-junho-de-2020-260786270</w:t>
        </w:r>
      </w:hyperlink>
      <w:r w:rsidRPr="00C85BE1">
        <w:t xml:space="preserve"> </w:t>
      </w:r>
    </w:p>
    <w:p w14:paraId="1E207C38" w14:textId="77777777" w:rsidR="00A963A6" w:rsidRPr="00C85BE1" w:rsidRDefault="00A963A6" w:rsidP="00A963A6">
      <w:r w:rsidRPr="00C85BE1">
        <w:t>Estatuto e Regulamento do Fundo de Garantia de Operações - FGO &gt;</w:t>
      </w:r>
      <w:r w:rsidR="00C85BE1" w:rsidRPr="00C85BE1">
        <w:t xml:space="preserve"> </w:t>
      </w:r>
      <w:hyperlink r:id="rId24" w:history="1">
        <w:r w:rsidR="00C85BE1" w:rsidRPr="00C85BE1">
          <w:rPr>
            <w:rStyle w:val="Hyperlink"/>
          </w:rPr>
          <w:t>https://www.in.gov.br/en/web/dou/-/portaria-n-978-de-8-de-junho-de-2020-260786270</w:t>
        </w:r>
      </w:hyperlink>
      <w:r w:rsidR="00C85BE1" w:rsidRPr="00C85BE1">
        <w:t xml:space="preserve"> </w:t>
      </w:r>
    </w:p>
    <w:p w14:paraId="5F4A2B16" w14:textId="77777777" w:rsidR="006D5E54" w:rsidRPr="007E680A" w:rsidRDefault="006D5E54" w:rsidP="00774B2D"/>
    <w:sectPr w:rsidR="006D5E54" w:rsidRPr="007E68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33F41"/>
    <w:multiLevelType w:val="multilevel"/>
    <w:tmpl w:val="E5E2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A461FC"/>
    <w:multiLevelType w:val="hybridMultilevel"/>
    <w:tmpl w:val="34923DB4"/>
    <w:lvl w:ilvl="0" w:tplc="513606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5D43AE"/>
    <w:multiLevelType w:val="hybridMultilevel"/>
    <w:tmpl w:val="6DFE3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A6"/>
    <w:rsid w:val="00013B8A"/>
    <w:rsid w:val="000C62D3"/>
    <w:rsid w:val="000F78FE"/>
    <w:rsid w:val="001519A3"/>
    <w:rsid w:val="00177634"/>
    <w:rsid w:val="00332126"/>
    <w:rsid w:val="00340397"/>
    <w:rsid w:val="003440F3"/>
    <w:rsid w:val="00370711"/>
    <w:rsid w:val="00392D3C"/>
    <w:rsid w:val="003D28EA"/>
    <w:rsid w:val="004E3BA3"/>
    <w:rsid w:val="006744A6"/>
    <w:rsid w:val="006D5E54"/>
    <w:rsid w:val="00774B2D"/>
    <w:rsid w:val="00786F15"/>
    <w:rsid w:val="007D3DE1"/>
    <w:rsid w:val="007E680A"/>
    <w:rsid w:val="00812481"/>
    <w:rsid w:val="0081367F"/>
    <w:rsid w:val="00880029"/>
    <w:rsid w:val="00907931"/>
    <w:rsid w:val="00924099"/>
    <w:rsid w:val="00940697"/>
    <w:rsid w:val="009A3687"/>
    <w:rsid w:val="009C3F1C"/>
    <w:rsid w:val="00A55AB1"/>
    <w:rsid w:val="00A963A6"/>
    <w:rsid w:val="00AB1BCF"/>
    <w:rsid w:val="00B50E58"/>
    <w:rsid w:val="00C80A81"/>
    <w:rsid w:val="00C85BE1"/>
    <w:rsid w:val="00CD4723"/>
    <w:rsid w:val="00D12BC6"/>
    <w:rsid w:val="00E0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D626"/>
  <w15:chartTrackingRefBased/>
  <w15:docId w15:val="{BD7B62D5-B42F-4572-8D0D-97561087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12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AB1B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50E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744A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B1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AB1BC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12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grafodaLista">
    <w:name w:val="List Paragraph"/>
    <w:basedOn w:val="Normal"/>
    <w:uiPriority w:val="34"/>
    <w:qFormat/>
    <w:rsid w:val="00812481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semiHidden/>
    <w:rsid w:val="00B50E5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691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621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994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263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43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713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7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desul.com.br/" TargetMode="External"/><Relationship Id="rId13" Type="http://schemas.openxmlformats.org/officeDocument/2006/relationships/hyperlink" Target="https://www.bdmg.mg.gov.br/" TargetMode="External"/><Relationship Id="rId18" Type="http://schemas.openxmlformats.org/officeDocument/2006/relationships/hyperlink" Target="https://www.bb.com.br/pbb/pagina-inicial/setor-publico/governo-federal/desenvolvimento-socioeconomico/fundo-de-garantia-de-operacoes-(fgo)---original-e-pronampe/fundo-de-garantia-de-operacoes-(fgo)-pronampe?pk_vid=faeee47fdc96c5e0159897640717700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in.gov.br/en/web/dou/-/lei-n-13.999-de-18-de-maio-de-2020-257394467" TargetMode="External"/><Relationship Id="rId7" Type="http://schemas.openxmlformats.org/officeDocument/2006/relationships/hyperlink" Target="https://www.ailos.coop.br/" TargetMode="External"/><Relationship Id="rId12" Type="http://schemas.openxmlformats.org/officeDocument/2006/relationships/hyperlink" Target="https://www.banrisul.com.br/" TargetMode="External"/><Relationship Id="rId17" Type="http://schemas.openxmlformats.org/officeDocument/2006/relationships/hyperlink" Target="https://www.gov.br/pt-br/noticias/financas-impostos-e-gestao-publica/2020/05/programa-apoia-micro-e-pequenos-empresarios-durante-pandemi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icredi.com.br/site/home" TargetMode="External"/><Relationship Id="rId20" Type="http://schemas.openxmlformats.org/officeDocument/2006/relationships/hyperlink" Target="https://www12.senado.leg.br/noticias/materias/2020/09/01/pronampe-tera-aporte-de-r-14-bilhoes-para-2a-etapa-de-concessao-de-credit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bb.com.br/docs/portal/digov/Pronampe-Semanal.pdf" TargetMode="External"/><Relationship Id="rId11" Type="http://schemas.openxmlformats.org/officeDocument/2006/relationships/hyperlink" Target="http://www.bancoob.com.br/" TargetMode="External"/><Relationship Id="rId24" Type="http://schemas.openxmlformats.org/officeDocument/2006/relationships/hyperlink" Target="https://www.in.gov.br/en/web/dou/-/portaria-n-978-de-8-de-junho-de-2020-260786270" TargetMode="External"/><Relationship Id="rId5" Type="http://schemas.openxmlformats.org/officeDocument/2006/relationships/hyperlink" Target="https://www.gov.br/casacivil/pt-br/assuntos/noticias/2020/julho/pronampe-governo-federal-anuncia-isencao-da-tarifa-para-abertura-de-credito-de-pequenas-empresas" TargetMode="External"/><Relationship Id="rId15" Type="http://schemas.openxmlformats.org/officeDocument/2006/relationships/hyperlink" Target="https://www.itau.com.br/" TargetMode="External"/><Relationship Id="rId23" Type="http://schemas.openxmlformats.org/officeDocument/2006/relationships/hyperlink" Target="https://www.in.gov.br/en/web/dou/-/portaria-n-978-de-8-de-junho-de-2020-260786270" TargetMode="External"/><Relationship Id="rId10" Type="http://schemas.openxmlformats.org/officeDocument/2006/relationships/hyperlink" Target="https://www.bb.com.br/pbb/pagina-inicial" TargetMode="External"/><Relationship Id="rId19" Type="http://schemas.openxmlformats.org/officeDocument/2006/relationships/hyperlink" Target="http://www.caixa.gov.br/empresa/credito-financiamento/capital-de-giro/pronampe/Paginas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ncoamazonia.com.br/" TargetMode="External"/><Relationship Id="rId14" Type="http://schemas.openxmlformats.org/officeDocument/2006/relationships/hyperlink" Target="https://www.bnb.gov.br/" TargetMode="External"/><Relationship Id="rId22" Type="http://schemas.openxmlformats.org/officeDocument/2006/relationships/hyperlink" Target="https://www.in.gov.br/en/web/dou/-/medida-provisoria-n-975-de-1-de-junho-de-2020-259639759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1297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Magda Carlos</cp:lastModifiedBy>
  <cp:revision>3</cp:revision>
  <dcterms:created xsi:type="dcterms:W3CDTF">2020-09-01T18:52:00Z</dcterms:created>
  <dcterms:modified xsi:type="dcterms:W3CDTF">2020-09-01T20:14:00Z</dcterms:modified>
</cp:coreProperties>
</file>